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800" w:lineRule="exact"/>
        <w:ind w:right="105" w:rightChars="50"/>
        <w:jc w:val="center"/>
        <w:rPr>
          <w:rFonts w:hint="eastAsia" w:ascii="黑体" w:hAnsi="黑体" w:eastAsia="黑体" w:cs="黑体"/>
          <w:b/>
          <w:bCs/>
          <w:color w:val="FF0000"/>
          <w:spacing w:val="-23"/>
          <w:w w:val="90"/>
          <w:kern w:val="0"/>
          <w:sz w:val="52"/>
          <w:szCs w:val="52"/>
        </w:rPr>
      </w:pPr>
      <w:r>
        <w:rPr>
          <w:rFonts w:hint="eastAsia" w:ascii="黑体" w:hAnsi="黑体" w:eastAsia="黑体" w:cs="黑体"/>
          <w:b/>
          <w:bCs/>
          <w:color w:val="FF0000"/>
          <w:spacing w:val="-23"/>
          <w:w w:val="90"/>
          <w:kern w:val="0"/>
          <w:sz w:val="52"/>
          <w:szCs w:val="52"/>
        </w:rPr>
        <w:t>中国国际贸易促进委员会商事法律服务中心</w:t>
      </w:r>
    </w:p>
    <w:p>
      <w:pPr>
        <w:widowControl/>
        <w:tabs>
          <w:tab w:val="left" w:pos="7780"/>
        </w:tabs>
        <w:spacing w:line="800" w:lineRule="exact"/>
        <w:ind w:left="420" w:leftChars="200" w:right="325" w:rightChars="155" w:firstLine="0" w:firstLineChars="0"/>
        <w:jc w:val="distribute"/>
        <w:rPr>
          <w:rFonts w:hint="eastAsia" w:ascii="黑体" w:hAnsi="黑体" w:eastAsia="黑体" w:cs="黑体"/>
          <w:b/>
          <w:bCs/>
          <w:sz w:val="52"/>
          <w:szCs w:val="52"/>
        </w:rPr>
      </w:pPr>
      <w:r>
        <w:rPr>
          <w:rFonts w:hint="eastAsia" w:ascii="黑体" w:hAnsi="黑体" w:eastAsia="黑体" w:cs="黑体"/>
          <w:b/>
          <w:bCs/>
          <w:color w:val="FF0000"/>
          <w:spacing w:val="-23"/>
          <w:w w:val="90"/>
          <w:kern w:val="0"/>
          <w:sz w:val="52"/>
          <w:szCs w:val="52"/>
          <w:lang w:val="en-US" w:eastAsia="zh-CN"/>
        </w:rPr>
        <w:t>中国互联网</w:t>
      </w:r>
      <w:r>
        <w:rPr>
          <w:rFonts w:hint="eastAsia" w:ascii="黑体" w:hAnsi="黑体" w:eastAsia="黑体" w:cs="黑体"/>
          <w:b/>
          <w:bCs/>
          <w:color w:val="FF0000"/>
          <w:spacing w:val="-23"/>
          <w:w w:val="90"/>
          <w:kern w:val="0"/>
          <w:sz w:val="52"/>
          <w:szCs w:val="52"/>
        </w:rPr>
        <w:t>协会</w:t>
      </w:r>
    </w:p>
    <w:p>
      <w:pPr>
        <w:spacing w:line="440" w:lineRule="exact"/>
        <w:jc w:val="center"/>
        <w:rPr>
          <w:rFonts w:ascii="宋体" w:hAnsi="宋体"/>
          <w:bCs/>
          <w:sz w:val="32"/>
          <w:szCs w:val="32"/>
        </w:rPr>
      </w:pPr>
      <w:r>
        <w:rPr>
          <w:rFonts w:hint="eastAsia" w:ascii="仿宋" w:hAnsi="仿宋" w:eastAsia="仿宋" w:cs="仿宋"/>
          <w:color w:val="FF0000"/>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20320</wp:posOffset>
                </wp:positionV>
                <wp:extent cx="5414645" cy="45720"/>
                <wp:effectExtent l="0" t="13970" r="10795" b="16510"/>
                <wp:wrapNone/>
                <wp:docPr id="2" name="自选图形 2"/>
                <wp:cNvGraphicFramePr/>
                <a:graphic xmlns:a="http://schemas.openxmlformats.org/drawingml/2006/main">
                  <a:graphicData uri="http://schemas.microsoft.com/office/word/2010/wordprocessingShape">
                    <wps:wsp>
                      <wps:cNvCnPr>
                        <a:cxnSpLocks noChangeShapeType="1"/>
                      </wps:cNvCnPr>
                      <wps:spPr bwMode="auto">
                        <a:xfrm flipV="1">
                          <a:off x="0" y="0"/>
                          <a:ext cx="5414577" cy="45719"/>
                        </a:xfrm>
                        <a:prstGeom prst="straightConnector1">
                          <a:avLst/>
                        </a:prstGeom>
                        <a:noFill/>
                        <a:ln w="28575">
                          <a:solidFill>
                            <a:srgbClr val="FF0000"/>
                          </a:solidFill>
                          <a:round/>
                        </a:ln>
                      </wps:spPr>
                      <wps:bodyPr/>
                    </wps:wsp>
                  </a:graphicData>
                </a:graphic>
              </wp:anchor>
            </w:drawing>
          </mc:Choice>
          <mc:Fallback>
            <w:pict>
              <v:shape id="自选图形 2" o:spid="_x0000_s1026" o:spt="32" type="#_x0000_t32" style="position:absolute;left:0pt;flip:y;margin-top:1.6pt;height:3.6pt;width:426.35pt;mso-position-horizontal:left;mso-position-horizontal-relative:margin;z-index:251659264;mso-width-relative:page;mso-height-relative:page;" filled="f" stroked="t" coordsize="21600,21600" o:gfxdata="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CDNTrTAAAABQEAAA8AAAAAAAAAAQAgAAAAIgAAAGRycy9kb3ducmV2LnhtbFBLAQIU&#10;ABQAAAAIAIdO4kCsKht1+AEAAMQDAAAOAAAAAAAAAAEAIAAAACIBAABkcnMvZTJvRG9jLnhtbFBL&#10;BQYAAAAABgAGAFkBAACMBQAAAAA=&#10;">
                <v:fill on="f" focussize="0,0"/>
                <v:stroke weight="2.25pt" color="#FF0000" joinstyle="round"/>
                <v:imagedata o:title=""/>
                <o:lock v:ext="edit" aspectratio="f"/>
              </v:shape>
            </w:pict>
          </mc:Fallback>
        </mc:AlternateContent>
      </w:r>
    </w:p>
    <w:p>
      <w:pPr>
        <w:rPr>
          <w:rFonts w:ascii="黑体" w:hAnsi="黑体" w:eastAsia="黑体" w:cs="黑体"/>
          <w:sz w:val="32"/>
          <w:szCs w:val="32"/>
        </w:rPr>
      </w:pPr>
    </w:p>
    <w:p>
      <w:pPr>
        <w:rPr>
          <w:rFonts w:hint="eastAsia" w:ascii="宋体" w:hAnsi="宋体" w:eastAsia="宋体" w:cs="宋体"/>
          <w:b/>
          <w:bCs/>
          <w:sz w:val="36"/>
          <w:szCs w:val="36"/>
        </w:rPr>
      </w:pPr>
      <w:r>
        <w:rPr>
          <w:rFonts w:hint="eastAsia" w:ascii="宋体" w:hAnsi="宋体" w:eastAsia="宋体" w:cs="宋体"/>
          <w:b/>
          <w:bCs/>
          <w:sz w:val="36"/>
          <w:szCs w:val="36"/>
        </w:rPr>
        <w:t>附件</w:t>
      </w:r>
    </w:p>
    <w:p>
      <w:pPr>
        <w:ind w:firstLine="1084" w:firstLineChars="300"/>
        <w:jc w:val="center"/>
        <w:rPr>
          <w:rFonts w:hint="eastAsia" w:ascii="宋体" w:hAnsi="宋体" w:eastAsia="宋体" w:cs="宋体"/>
          <w:b/>
          <w:bCs/>
          <w:sz w:val="36"/>
          <w:szCs w:val="36"/>
        </w:rPr>
      </w:pPr>
      <w:r>
        <w:rPr>
          <w:rFonts w:hint="eastAsia" w:ascii="宋体" w:hAnsi="宋体" w:eastAsia="宋体" w:cs="宋体"/>
          <w:b/>
          <w:bCs/>
          <w:sz w:val="36"/>
          <w:szCs w:val="36"/>
        </w:rPr>
        <w:t>企业合规师专业水平培训介绍</w:t>
      </w:r>
    </w:p>
    <w:p>
      <w:pPr>
        <w:spacing w:line="240" w:lineRule="exact"/>
        <w:ind w:firstLine="1320" w:firstLineChars="300"/>
        <w:rPr>
          <w:rFonts w:ascii="方正小标宋简体" w:hAnsi="方正小标宋简体" w:eastAsia="方正小标宋简体" w:cs="方正小标宋简体"/>
          <w:sz w:val="44"/>
          <w:szCs w:val="44"/>
        </w:rPr>
      </w:pPr>
    </w:p>
    <w:p>
      <w:pPr>
        <w:rPr>
          <w:rFonts w:ascii="黑体" w:hAnsi="黑体" w:eastAsia="黑体" w:cs="黑体"/>
          <w:b/>
          <w:bCs/>
          <w:sz w:val="32"/>
          <w:szCs w:val="32"/>
        </w:rPr>
      </w:pPr>
      <w:r>
        <w:rPr>
          <w:rFonts w:hint="eastAsia" w:ascii="黑体" w:hAnsi="黑体" w:eastAsia="黑体" w:cs="黑体"/>
          <w:sz w:val="30"/>
          <w:szCs w:val="30"/>
        </w:rPr>
        <w:t xml:space="preserve">    </w:t>
      </w:r>
      <w:r>
        <w:rPr>
          <w:rFonts w:hint="eastAsia" w:ascii="黑体" w:hAnsi="黑体" w:eastAsia="黑体" w:cs="黑体"/>
          <w:sz w:val="32"/>
          <w:szCs w:val="32"/>
        </w:rPr>
        <w:t>一、背景介绍</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合规师是经中国贸促会商事法律服务中心申报，由人力资源和社会保障部、国家市场监督管理总局、国家统计局三部门于2021年3月18日联合发布的国家新职业。在《中华人民共和国职业分类大典》中归类为第二大类——专业技术人员，同会计师、税务师、审计师、经济师、工程师、律师等同类别。企业合规师成为国家正式职业，是适应新时代企业高质量发展的需要。近年来，政府有关部门出台了一系列企业合规管理政策及指引，持续加快推进企业合规管理体系建设，不仅对企业合规经营和强化合规管理进行规制规范，也对合规管理人员的专业知识、业务素质、技术能力、操作水平提出更高的要求。企业合规管理正在向着专业化、职业化方向发展，需要大批掌握合规专门知识并具备实务专业技术能力的企业合规师。</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6月，最高人民检察院联合司法部、国务院国资委、中国贸促会等八部门共同发布《关于建立涉案企业合规第三方监督评估机制的指导意见（试行）》。中国贸促会做为第三方机制成员单位，大力推动企业合规师与律师、注册会计师、税务师一并列入第三方机制专业人员名录库，承担涉案企业合规第三方监督评估工作。在规范企业投资经营行为、推动履行社会责任、增强企业竞争软实力等方面，企业合规师都将发挥积极作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着眼于推动企业合规师新职业规范有序发展，为企业合规建设提供有力人才保障，2022年9月，中国贸促会、中国企业联合会等共同发布的《企业合规师通用职业技术技能要求》职业标准，从知识架构、专业技术、职业素养三个维度对企业合规师的专业水平设定了衡量指标和评价办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此背景下，中国贸促会商法中心作为企业合规师新职业的申报单位，推出企业合规师专业水平培训，立足于企业合规工作需求和具体实践，按照国家新职业管理相关规定，对学员合规管理基础知识、企业合规管理重点领域和重点流程环节开展专项培训，帮助学员建立企业合规管理所需的知识框架，快速提升合规管理实务操作能力，参与企业合规建设工作，拓宽职业发展道路。</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二、培训体系</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合规师通过制定并实施企业合规管理规划、计划和制度，开展监督、调查和处理工作，管理企业合规义务风险，使企业及其内部成员行为符合法律法规、监管要求、行业规定和道德规范。企业合规师工作范围贯穿企业生产经营活动全过程，要求从业人员须以企业合规管理专业知识为基础，同时具备业务、法律、财务等跨学科、复合型知识结构，并且具备与企业各部门统筹协作、沟通协调的能力。</w:t>
      </w:r>
    </w:p>
    <w:p>
      <w:pPr>
        <w:pStyle w:val="1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合规师专业水平培训严格按照国家新职业培训工作要求，着眼于提升我国企业合规制度建设和管理水平，坚持职业发展导向，突出能力建设。依规科学设置学时和考核标准，采用理论知识和实务操作相结合的综合培训模式，注重提升学员的综合素质和实践能力。具体设置如下：</w:t>
      </w:r>
    </w:p>
    <w:p>
      <w:pPr>
        <w:pStyle w:val="10"/>
        <w:rPr>
          <w:rFonts w:ascii="仿宋_GB2312" w:hAnsi="仿宋_GB2312" w:eastAsia="仿宋_GB2312" w:cs="仿宋_GB2312"/>
          <w:sz w:val="24"/>
        </w:rPr>
      </w:pPr>
    </w:p>
    <w:p>
      <w:pPr>
        <w:pStyle w:val="10"/>
        <w:ind w:firstLine="300" w:firstLineChars="100"/>
        <w:rPr>
          <w:rFonts w:ascii="黑体" w:hAnsi="黑体" w:eastAsia="黑体" w:cs="黑体"/>
          <w:sz w:val="30"/>
          <w:szCs w:val="30"/>
        </w:rPr>
      </w:pPr>
      <w:r>
        <w:rPr>
          <w:rFonts w:hint="eastAsia" w:ascii="黑体" w:hAnsi="黑体" w:eastAsia="黑体" w:cs="黑体"/>
          <w:sz w:val="30"/>
          <w:szCs w:val="30"/>
        </w:rPr>
        <w:t>第一模块 企业合规管理通论——基础知识</w:t>
      </w:r>
    </w:p>
    <w:tbl>
      <w:tblPr>
        <w:tblStyle w:val="6"/>
        <w:tblpPr w:leftFromText="180" w:rightFromText="180" w:vertAnchor="text" w:horzAnchor="page" w:tblpX="1927" w:tblpY="3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7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rPr>
                <w:kern w:val="0"/>
                <w:sz w:val="24"/>
              </w:rPr>
            </w:pPr>
            <w:r>
              <w:rPr>
                <w:rFonts w:hint="eastAsia"/>
                <w:kern w:val="0"/>
                <w:sz w:val="24"/>
              </w:rPr>
              <w:t>序号</w:t>
            </w:r>
          </w:p>
        </w:tc>
        <w:tc>
          <w:tcPr>
            <w:tcW w:w="7025" w:type="dxa"/>
          </w:tcPr>
          <w:p>
            <w:pPr>
              <w:pStyle w:val="10"/>
              <w:ind w:firstLine="480"/>
              <w:rPr>
                <w:kern w:val="0"/>
                <w:sz w:val="24"/>
              </w:rPr>
            </w:pPr>
            <w:r>
              <w:rPr>
                <w:rFonts w:hint="eastAsia"/>
                <w:kern w:val="0"/>
                <w:sz w:val="24"/>
              </w:rPr>
              <w:t xml:space="preserve"> </w:t>
            </w:r>
            <w:r>
              <w:rPr>
                <w:kern w:val="0"/>
                <w:sz w:val="24"/>
              </w:rPr>
              <w:t xml:space="preserve">                  </w:t>
            </w:r>
            <w:r>
              <w:rPr>
                <w:rFonts w:hint="eastAsia"/>
                <w:kern w:val="0"/>
                <w:sz w:val="24"/>
              </w:rPr>
              <w:t xml:space="preserve">   </w:t>
            </w:r>
            <w:r>
              <w:rPr>
                <w:kern w:val="0"/>
                <w:sz w:val="24"/>
              </w:rPr>
              <w:t xml:space="preserve">  </w:t>
            </w:r>
            <w:r>
              <w:rPr>
                <w:rFonts w:hint="eastAsia" w:ascii="仿宋_GB2312" w:hAnsi="仿宋_GB2312" w:eastAsia="仿宋_GB2312" w:cs="仿宋_GB2312"/>
                <w:b/>
                <w:bCs/>
                <w:kern w:val="0"/>
                <w:sz w:val="30"/>
                <w:szCs w:val="30"/>
              </w:rPr>
              <w:t>课程内容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jc w:val="center"/>
              <w:rPr>
                <w:kern w:val="0"/>
                <w:sz w:val="24"/>
              </w:rPr>
            </w:pPr>
            <w:r>
              <w:rPr>
                <w:rFonts w:hint="eastAsia"/>
                <w:kern w:val="0"/>
                <w:sz w:val="24"/>
              </w:rPr>
              <w:t>1</w:t>
            </w:r>
          </w:p>
        </w:tc>
        <w:tc>
          <w:tcPr>
            <w:tcW w:w="7025"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企业合规管理概论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jc w:val="center"/>
              <w:rPr>
                <w:kern w:val="0"/>
                <w:sz w:val="24"/>
              </w:rPr>
            </w:pPr>
            <w:r>
              <w:rPr>
                <w:rFonts w:hint="eastAsia"/>
                <w:kern w:val="0"/>
                <w:sz w:val="24"/>
              </w:rPr>
              <w:t>2</w:t>
            </w:r>
          </w:p>
        </w:tc>
        <w:tc>
          <w:tcPr>
            <w:tcW w:w="7025"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企业合规管理策划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jc w:val="center"/>
              <w:rPr>
                <w:kern w:val="0"/>
                <w:sz w:val="24"/>
              </w:rPr>
            </w:pPr>
            <w:r>
              <w:rPr>
                <w:rFonts w:hint="eastAsia"/>
                <w:kern w:val="0"/>
                <w:sz w:val="24"/>
              </w:rPr>
              <w:t>3</w:t>
            </w:r>
          </w:p>
        </w:tc>
        <w:tc>
          <w:tcPr>
            <w:tcW w:w="7025"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企业合规义务管理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jc w:val="center"/>
              <w:rPr>
                <w:kern w:val="0"/>
                <w:sz w:val="24"/>
              </w:rPr>
            </w:pPr>
            <w:r>
              <w:rPr>
                <w:rFonts w:hint="eastAsia"/>
                <w:kern w:val="0"/>
                <w:sz w:val="24"/>
              </w:rPr>
              <w:t>4</w:t>
            </w:r>
          </w:p>
        </w:tc>
        <w:tc>
          <w:tcPr>
            <w:tcW w:w="7025"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企业合规风险识别与评估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jc w:val="center"/>
              <w:rPr>
                <w:kern w:val="0"/>
                <w:sz w:val="24"/>
              </w:rPr>
            </w:pPr>
            <w:r>
              <w:rPr>
                <w:rFonts w:hint="eastAsia"/>
                <w:kern w:val="0"/>
                <w:sz w:val="24"/>
              </w:rPr>
              <w:t>5</w:t>
            </w:r>
          </w:p>
        </w:tc>
        <w:tc>
          <w:tcPr>
            <w:tcW w:w="7025"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企业合规管理组织体系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jc w:val="center"/>
              <w:rPr>
                <w:kern w:val="0"/>
                <w:sz w:val="24"/>
              </w:rPr>
            </w:pPr>
            <w:r>
              <w:rPr>
                <w:rFonts w:hint="eastAsia"/>
                <w:kern w:val="0"/>
                <w:sz w:val="24"/>
              </w:rPr>
              <w:t>6</w:t>
            </w:r>
          </w:p>
        </w:tc>
        <w:tc>
          <w:tcPr>
            <w:tcW w:w="7025"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企业制度文件管理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jc w:val="center"/>
              <w:rPr>
                <w:kern w:val="0"/>
                <w:sz w:val="24"/>
              </w:rPr>
            </w:pPr>
            <w:r>
              <w:rPr>
                <w:rFonts w:hint="eastAsia"/>
                <w:kern w:val="0"/>
                <w:sz w:val="24"/>
              </w:rPr>
              <w:t>7</w:t>
            </w:r>
          </w:p>
        </w:tc>
        <w:tc>
          <w:tcPr>
            <w:tcW w:w="7025"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企业合规管理实施机制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jc w:val="center"/>
              <w:rPr>
                <w:kern w:val="0"/>
                <w:sz w:val="24"/>
              </w:rPr>
            </w:pPr>
            <w:r>
              <w:rPr>
                <w:rFonts w:hint="eastAsia"/>
                <w:kern w:val="0"/>
                <w:sz w:val="24"/>
              </w:rPr>
              <w:t>8</w:t>
            </w:r>
          </w:p>
        </w:tc>
        <w:tc>
          <w:tcPr>
            <w:tcW w:w="7025"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企业外部相关方合规管理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jc w:val="center"/>
              <w:rPr>
                <w:kern w:val="0"/>
                <w:sz w:val="24"/>
              </w:rPr>
            </w:pPr>
            <w:r>
              <w:rPr>
                <w:rFonts w:hint="eastAsia"/>
                <w:kern w:val="0"/>
                <w:sz w:val="24"/>
              </w:rPr>
              <w:t>9</w:t>
            </w:r>
          </w:p>
        </w:tc>
        <w:tc>
          <w:tcPr>
            <w:tcW w:w="7025"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企业合规文化建设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Pr>
          <w:p>
            <w:pPr>
              <w:pStyle w:val="10"/>
              <w:ind w:firstLine="480"/>
              <w:jc w:val="center"/>
              <w:rPr>
                <w:kern w:val="0"/>
                <w:sz w:val="24"/>
              </w:rPr>
            </w:pPr>
            <w:r>
              <w:rPr>
                <w:rFonts w:hint="eastAsia"/>
                <w:kern w:val="0"/>
                <w:sz w:val="24"/>
              </w:rPr>
              <w:t>1</w:t>
            </w:r>
            <w:r>
              <w:rPr>
                <w:kern w:val="0"/>
                <w:sz w:val="24"/>
              </w:rPr>
              <w:t>0</w:t>
            </w:r>
          </w:p>
        </w:tc>
        <w:tc>
          <w:tcPr>
            <w:tcW w:w="7025"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企业合规管理体系评价与改进</w:t>
            </w:r>
          </w:p>
        </w:tc>
      </w:tr>
    </w:tbl>
    <w:p>
      <w:pPr>
        <w:pStyle w:val="10"/>
        <w:rPr>
          <w:sz w:val="24"/>
        </w:rPr>
      </w:pPr>
    </w:p>
    <w:p>
      <w:pPr>
        <w:pStyle w:val="10"/>
        <w:ind w:firstLine="300" w:firstLineChars="100"/>
        <w:rPr>
          <w:rFonts w:ascii="黑体" w:hAnsi="黑体" w:eastAsia="黑体" w:cs="黑体"/>
          <w:sz w:val="30"/>
          <w:szCs w:val="30"/>
        </w:rPr>
      </w:pPr>
      <w:r>
        <w:rPr>
          <w:rFonts w:hint="eastAsia" w:ascii="黑体" w:hAnsi="黑体" w:eastAsia="黑体" w:cs="黑体"/>
          <w:sz w:val="30"/>
          <w:szCs w:val="30"/>
        </w:rPr>
        <w:t>第二模块 企业合规管理分论——重点领域</w:t>
      </w:r>
    </w:p>
    <w:p>
      <w:pPr>
        <w:pStyle w:val="10"/>
        <w:rPr>
          <w:rFonts w:asciiTheme="minorHAnsi" w:hAnsiTheme="minorHAnsi" w:eastAsiaTheme="minorEastAsia" w:cstheme="minorBidi"/>
          <w:sz w:val="24"/>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6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rPr>
                <w:kern w:val="0"/>
                <w:sz w:val="24"/>
              </w:rPr>
            </w:pPr>
            <w:r>
              <w:rPr>
                <w:rFonts w:hint="eastAsia"/>
                <w:kern w:val="0"/>
                <w:sz w:val="24"/>
              </w:rPr>
              <w:t>序号</w:t>
            </w:r>
          </w:p>
        </w:tc>
        <w:tc>
          <w:tcPr>
            <w:tcW w:w="6883" w:type="dxa"/>
          </w:tcPr>
          <w:p>
            <w:pPr>
              <w:pStyle w:val="10"/>
              <w:ind w:firstLine="56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b/>
                <w:bCs/>
                <w:kern w:val="0"/>
                <w:sz w:val="28"/>
                <w:szCs w:val="28"/>
              </w:rPr>
              <w:t>课程内容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1</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反腐败与反商业贿赂合规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2</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贸易合规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3</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网络安全与数据合规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4</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反垄断与反不正当竞争合规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5</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税务合规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6</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涉外经营合规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7</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财务合规管理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8</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ESG(环境、社会和公司治理)管理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9</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知识产权合规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1</w:t>
            </w:r>
            <w:r>
              <w:rPr>
                <w:kern w:val="0"/>
                <w:sz w:val="24"/>
              </w:rPr>
              <w:t>0</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出口管制和制裁应对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1</w:t>
            </w:r>
            <w:r>
              <w:rPr>
                <w:kern w:val="0"/>
                <w:sz w:val="24"/>
              </w:rPr>
              <w:t>1</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我国检察部门开展的涉案企业合规改革</w:t>
            </w:r>
          </w:p>
        </w:tc>
      </w:tr>
    </w:tbl>
    <w:p>
      <w:pPr>
        <w:pStyle w:val="10"/>
        <w:rPr>
          <w:sz w:val="24"/>
        </w:rPr>
      </w:pPr>
    </w:p>
    <w:p>
      <w:pPr>
        <w:pStyle w:val="10"/>
        <w:rPr>
          <w:sz w:val="24"/>
        </w:rPr>
      </w:pPr>
    </w:p>
    <w:p>
      <w:pPr>
        <w:pStyle w:val="10"/>
        <w:rPr>
          <w:sz w:val="24"/>
        </w:rPr>
      </w:pPr>
    </w:p>
    <w:p>
      <w:pPr>
        <w:pStyle w:val="10"/>
        <w:ind w:firstLine="300" w:firstLineChars="100"/>
        <w:rPr>
          <w:rFonts w:ascii="黑体" w:hAnsi="黑体" w:eastAsia="黑体" w:cs="黑体"/>
          <w:sz w:val="30"/>
          <w:szCs w:val="30"/>
        </w:rPr>
      </w:pPr>
      <w:r>
        <w:rPr>
          <w:rFonts w:hint="eastAsia" w:ascii="黑体" w:hAnsi="黑体" w:eastAsia="黑体" w:cs="黑体"/>
          <w:sz w:val="30"/>
          <w:szCs w:val="30"/>
        </w:rPr>
        <w:t>第三模块 案例教学</w:t>
      </w:r>
    </w:p>
    <w:p>
      <w:pPr>
        <w:pStyle w:val="10"/>
        <w:rPr>
          <w:rFonts w:asciiTheme="minorHAnsi" w:hAnsiTheme="minorHAnsi" w:eastAsiaTheme="minorEastAsia" w:cstheme="minorBidi"/>
          <w:sz w:val="24"/>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6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rPr>
                <w:kern w:val="0"/>
                <w:sz w:val="24"/>
              </w:rPr>
            </w:pPr>
            <w:r>
              <w:rPr>
                <w:rFonts w:hint="eastAsia"/>
                <w:kern w:val="0"/>
                <w:sz w:val="24"/>
              </w:rPr>
              <w:t>序号</w:t>
            </w:r>
          </w:p>
        </w:tc>
        <w:tc>
          <w:tcPr>
            <w:tcW w:w="6883" w:type="dxa"/>
          </w:tcPr>
          <w:p>
            <w:pPr>
              <w:pStyle w:val="10"/>
              <w:ind w:firstLine="56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b/>
                <w:bCs/>
                <w:kern w:val="0"/>
                <w:sz w:val="28"/>
                <w:szCs w:val="28"/>
              </w:rPr>
              <w:t>课程内容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1</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企业合规体系建设及管理实务案例解析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tcPr>
          <w:p>
            <w:pPr>
              <w:pStyle w:val="10"/>
              <w:ind w:firstLine="480"/>
              <w:jc w:val="center"/>
              <w:rPr>
                <w:kern w:val="0"/>
                <w:sz w:val="24"/>
              </w:rPr>
            </w:pPr>
            <w:r>
              <w:rPr>
                <w:rFonts w:hint="eastAsia"/>
                <w:kern w:val="0"/>
                <w:sz w:val="24"/>
              </w:rPr>
              <w:t>2</w:t>
            </w:r>
          </w:p>
        </w:tc>
        <w:tc>
          <w:tcPr>
            <w:tcW w:w="6883" w:type="dxa"/>
          </w:tcPr>
          <w:p>
            <w:pPr>
              <w:pStyle w:val="10"/>
              <w:ind w:firstLine="56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重点合规领域案例解析</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0NDNhN2JlMTk1ZmQxOTJiMmU4OWFhODg1OGE5NTcifQ=="/>
  </w:docVars>
  <w:rsids>
    <w:rsidRoot w:val="004E45A6"/>
    <w:rsid w:val="000D20D5"/>
    <w:rsid w:val="000E3024"/>
    <w:rsid w:val="0014614B"/>
    <w:rsid w:val="00156387"/>
    <w:rsid w:val="001F56EE"/>
    <w:rsid w:val="002017D1"/>
    <w:rsid w:val="002024EF"/>
    <w:rsid w:val="00261E8D"/>
    <w:rsid w:val="00266740"/>
    <w:rsid w:val="00304D81"/>
    <w:rsid w:val="003452EB"/>
    <w:rsid w:val="00491589"/>
    <w:rsid w:val="004B66E6"/>
    <w:rsid w:val="004E45A6"/>
    <w:rsid w:val="00527842"/>
    <w:rsid w:val="005A6178"/>
    <w:rsid w:val="00604E5C"/>
    <w:rsid w:val="00644DB1"/>
    <w:rsid w:val="00730F9C"/>
    <w:rsid w:val="00780A8C"/>
    <w:rsid w:val="007D79F5"/>
    <w:rsid w:val="008123A2"/>
    <w:rsid w:val="00855916"/>
    <w:rsid w:val="00893DC5"/>
    <w:rsid w:val="008E5354"/>
    <w:rsid w:val="00915165"/>
    <w:rsid w:val="00992317"/>
    <w:rsid w:val="009B443D"/>
    <w:rsid w:val="009D5A5D"/>
    <w:rsid w:val="009D5FEE"/>
    <w:rsid w:val="009D6F73"/>
    <w:rsid w:val="00A03BFB"/>
    <w:rsid w:val="00A63444"/>
    <w:rsid w:val="00AB0B24"/>
    <w:rsid w:val="00BC4855"/>
    <w:rsid w:val="00CA24AB"/>
    <w:rsid w:val="00CB04B6"/>
    <w:rsid w:val="00CB1B74"/>
    <w:rsid w:val="00D12D2B"/>
    <w:rsid w:val="00D92FA5"/>
    <w:rsid w:val="00E23874"/>
    <w:rsid w:val="00E34118"/>
    <w:rsid w:val="00F00C33"/>
    <w:rsid w:val="00F64496"/>
    <w:rsid w:val="06A64C3B"/>
    <w:rsid w:val="13347638"/>
    <w:rsid w:val="2C580389"/>
    <w:rsid w:val="3D916E21"/>
    <w:rsid w:val="556833B9"/>
    <w:rsid w:val="665C016D"/>
    <w:rsid w:val="67AB1FA1"/>
    <w:rsid w:val="739336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14:ligatures w14:val="none"/>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qFormat/>
    <w:uiPriority w:val="0"/>
    <w:pPr>
      <w:tabs>
        <w:tab w:val="center" w:pos="4153"/>
        <w:tab w:val="right" w:pos="8306"/>
      </w:tabs>
      <w:snapToGrid w:val="0"/>
      <w:jc w:val="left"/>
    </w:pPr>
    <w:rPr>
      <w:sz w:val="18"/>
      <w:szCs w:val="18"/>
    </w:rPr>
  </w:style>
  <w:style w:type="paragraph" w:styleId="3">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rPr>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autoRedefine/>
    <w:qFormat/>
    <w:uiPriority w:val="22"/>
    <w:rPr>
      <w:b/>
    </w:rPr>
  </w:style>
  <w:style w:type="character" w:customStyle="1" w:styleId="9">
    <w:name w:val="页脚 Char"/>
    <w:basedOn w:val="7"/>
    <w:link w:val="2"/>
    <w:autoRedefine/>
    <w:qFormat/>
    <w:uiPriority w:val="0"/>
    <w:rPr>
      <w:sz w:val="18"/>
      <w:szCs w:val="18"/>
      <w14:ligatures w14:val="none"/>
    </w:rPr>
  </w:style>
  <w:style w:type="paragraph" w:customStyle="1" w:styleId="10">
    <w:name w:val="标准正文"/>
    <w:basedOn w:val="1"/>
    <w:autoRedefine/>
    <w:qFormat/>
    <w:uiPriority w:val="0"/>
    <w:rPr>
      <w:rFonts w:ascii="Times New Roman" w:hAnsi="Times New Roman" w:eastAsia="宋体" w:cs="Times New Roman"/>
    </w:rPr>
  </w:style>
  <w:style w:type="paragraph" w:styleId="11">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2838</Words>
  <Characters>2952</Characters>
  <Lines>21</Lines>
  <Paragraphs>6</Paragraphs>
  <TotalTime>53</TotalTime>
  <ScaleCrop>false</ScaleCrop>
  <LinksUpToDate>false</LinksUpToDate>
  <CharactersWithSpaces>3055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2024-03-22T07:40:00Z</dcterms:created>
  <dc:creator>owen zhang</dc:creator>
  <cp:lastModifiedBy>颂佳</cp:lastModifiedBy>
  <dcterms:modified xsi:type="dcterms:W3CDTF">2024-04-08T08:42:18Z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A170ECE7D1F941A89ADB7951BC20912E_13</vt:lpwstr>
  </property>
</Properties>
</file>